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FA" w:rsidRDefault="00FB77E8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E8284C2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spacing w:before="1"/>
        <w:rPr>
          <w:sz w:val="28"/>
        </w:rPr>
      </w:pPr>
    </w:p>
    <w:p w:rsidR="00C275FA" w:rsidRDefault="00FB77E8">
      <w:pPr>
        <w:spacing w:before="82" w:line="490" w:lineRule="exact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Texcatla</w:t>
      </w:r>
      <w:proofErr w:type="spellEnd"/>
    </w:p>
    <w:p w:rsidR="00C275FA" w:rsidRDefault="00FB77E8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6626" cy="44385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626" cy="443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HGOSFO071</w:t>
      </w: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spacing w:before="10"/>
        <w:rPr>
          <w:sz w:val="18"/>
        </w:rPr>
      </w:pPr>
    </w:p>
    <w:p w:rsidR="00C275FA" w:rsidRDefault="00FB77E8">
      <w:pPr>
        <w:spacing w:before="90"/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Texcatla</w:t>
      </w:r>
      <w:proofErr w:type="spellEnd"/>
      <w:r>
        <w:rPr>
          <w:color w:val="231F20"/>
          <w:sz w:val="24"/>
        </w:rPr>
        <w:t>: 130460062</w:t>
      </w:r>
    </w:p>
    <w:p w:rsidR="00C275FA" w:rsidRDefault="00C275FA">
      <w:pPr>
        <w:jc w:val="right"/>
        <w:rPr>
          <w:sz w:val="24"/>
        </w:rPr>
        <w:sectPr w:rsidR="00C275F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FB77E8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275FA" w:rsidRDefault="00C275FA">
      <w:pPr>
        <w:pStyle w:val="Textoindependiente"/>
        <w:spacing w:before="3"/>
        <w:rPr>
          <w:b/>
          <w:sz w:val="32"/>
        </w:rPr>
      </w:pPr>
    </w:p>
    <w:p w:rsidR="00C275FA" w:rsidRDefault="00FB77E8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Texcatla</w:t>
      </w:r>
      <w:proofErr w:type="spellEnd"/>
      <w:r>
        <w:t xml:space="preserve">, del Municipio de San Felipe </w:t>
      </w:r>
      <w:proofErr w:type="spellStart"/>
      <w:r>
        <w:t>Orizatl</w:t>
      </w:r>
      <w:r>
        <w:t>án</w:t>
      </w:r>
      <w:proofErr w:type="spellEnd"/>
      <w:r>
        <w:t xml:space="preserve">,, con clave INEGI </w:t>
      </w:r>
      <w:r>
        <w:rPr>
          <w:b/>
        </w:rPr>
        <w:t>130460062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HGOSFO071.</w:t>
      </w:r>
    </w:p>
    <w:p w:rsidR="00C275FA" w:rsidRDefault="00C275FA">
      <w:pPr>
        <w:pStyle w:val="Textoindependiente"/>
        <w:spacing w:before="1"/>
        <w:rPr>
          <w:b/>
        </w:rPr>
      </w:pPr>
    </w:p>
    <w:p w:rsidR="00C275FA" w:rsidRDefault="00FB77E8">
      <w:pPr>
        <w:pStyle w:val="Textoindependiente"/>
        <w:ind w:left="401" w:right="1697"/>
        <w:jc w:val="both"/>
      </w:pPr>
      <w:proofErr w:type="spellStart"/>
      <w:r>
        <w:rPr>
          <w:b/>
        </w:rPr>
        <w:t>Texcatla</w:t>
      </w:r>
      <w:proofErr w:type="spellEnd"/>
      <w:r>
        <w:rPr>
          <w:b/>
        </w:rPr>
        <w:t xml:space="preserve"> </w:t>
      </w:r>
      <w:r>
        <w:t>mantiene una marcada estructura or</w:t>
      </w:r>
      <w:r>
        <w:t>ganizativa, la cual se ve reflejada en la realización de Asambleas Comunitarias, donde se toman las decisiones más importantes para la vida comunitaria, entre ellas la elección del Delegado y de comités locales. De igual manera en estas reuniones se calend</w:t>
      </w:r>
      <w:r>
        <w:t>arizan las fechas para el trabajo colectivo de beneficio comunitario. Cabe señalar que la resolución de faltas y conflictos se solucionan con elementos que van desde el diálogo hasta la cárcel, lo cual depende del caso a tratar.</w:t>
      </w:r>
    </w:p>
    <w:p w:rsidR="00C275FA" w:rsidRDefault="00C275FA">
      <w:pPr>
        <w:pStyle w:val="Textoindependiente"/>
        <w:spacing w:before="10"/>
        <w:rPr>
          <w:sz w:val="21"/>
        </w:rPr>
      </w:pPr>
    </w:p>
    <w:p w:rsidR="00C275FA" w:rsidRDefault="00FB77E8">
      <w:pPr>
        <w:pStyle w:val="Textoindependiente"/>
        <w:spacing w:before="1"/>
        <w:ind w:left="401" w:right="1698"/>
        <w:jc w:val="both"/>
      </w:pPr>
      <w:r>
        <w:t>El significativo 86 por ci</w:t>
      </w:r>
      <w:r>
        <w:t>ento de Hablantes de Lengua Indígena representa una dinámica de transmisión oral de la lengua que permite el uso cotidiano en diversos espacios dentro y fuera de la comunidad. Lo importante no sólo es la cantidad de hablantes sino la del proceso de transfe</w:t>
      </w:r>
      <w:r>
        <w:t>rencia de normas y valores por los cuales se ha regido la</w:t>
      </w:r>
      <w:r>
        <w:rPr>
          <w:spacing w:val="-2"/>
        </w:rPr>
        <w:t xml:space="preserve"> </w:t>
      </w:r>
      <w:r>
        <w:t>misma.</w:t>
      </w:r>
    </w:p>
    <w:p w:rsidR="00C275FA" w:rsidRDefault="00C275FA">
      <w:pPr>
        <w:pStyle w:val="Textoindependiente"/>
        <w:spacing w:before="11"/>
        <w:rPr>
          <w:sz w:val="21"/>
        </w:rPr>
      </w:pPr>
    </w:p>
    <w:p w:rsidR="00C275FA" w:rsidRDefault="00FB77E8">
      <w:pPr>
        <w:pStyle w:val="Textoindependiente"/>
        <w:ind w:left="402" w:right="1696"/>
        <w:jc w:val="both"/>
      </w:pPr>
      <w:r>
        <w:t>Las prácticas culturales tienen un carácter cohesionador y de revitalización de la identidad étnica, entre ellas destacan las Fiestas Tradicionales, rituales, música, danza, medicina tradicional, lugares sagrados y creencias. De igual manera la relación ex</w:t>
      </w:r>
      <w:r>
        <w:t xml:space="preserve">istente entre el cultivo de milpa </w:t>
      </w:r>
      <w:proofErr w:type="gramStart"/>
      <w:r>
        <w:t>y  ritos</w:t>
      </w:r>
      <w:proofErr w:type="gramEnd"/>
      <w:r>
        <w:t xml:space="preserve"> agrícolas dotan de una arraigo a la tierra y al</w:t>
      </w:r>
      <w:r>
        <w:rPr>
          <w:spacing w:val="-1"/>
        </w:rPr>
        <w:t xml:space="preserve"> </w:t>
      </w:r>
      <w:r>
        <w:t>territorio.</w:t>
      </w:r>
    </w:p>
    <w:p w:rsidR="00C275FA" w:rsidRDefault="00C275FA">
      <w:pPr>
        <w:pStyle w:val="Textoindependiente"/>
        <w:spacing w:before="11"/>
        <w:rPr>
          <w:sz w:val="21"/>
        </w:rPr>
      </w:pPr>
    </w:p>
    <w:p w:rsidR="00C275FA" w:rsidRDefault="00FB77E8">
      <w:pPr>
        <w:pStyle w:val="Textoindependiente"/>
        <w:ind w:left="402" w:right="1697"/>
        <w:jc w:val="both"/>
      </w:pPr>
      <w:r>
        <w:t xml:space="preserve">Por </w:t>
      </w:r>
      <w:proofErr w:type="gramStart"/>
      <w:r>
        <w:t>tanto</w:t>
      </w:r>
      <w:proofErr w:type="gramEnd"/>
      <w:r>
        <w:t xml:space="preserve"> la identidad indígena, se encuentra en la articulación entre la manifestación de las prácticas culturales y organizativas basadas en “usos y c</w:t>
      </w:r>
      <w:r>
        <w:t>ostumbres”, lo que da cuenta del carácter dinámico y adaptativo de la vida comunitaria</w:t>
      </w:r>
    </w:p>
    <w:p w:rsidR="00C275FA" w:rsidRDefault="00C275FA">
      <w:pPr>
        <w:jc w:val="both"/>
        <w:sectPr w:rsidR="00C275FA">
          <w:pgSz w:w="12240" w:h="15840"/>
          <w:pgMar w:top="1060" w:right="0" w:bottom="280" w:left="1300" w:header="720" w:footer="720" w:gutter="0"/>
          <w:cols w:space="720"/>
        </w:sectPr>
      </w:pPr>
    </w:p>
    <w:p w:rsidR="00FB77E8" w:rsidRDefault="00FB77E8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275FA">
        <w:trPr>
          <w:trHeight w:val="759"/>
        </w:trPr>
        <w:tc>
          <w:tcPr>
            <w:tcW w:w="7544" w:type="dxa"/>
            <w:gridSpan w:val="3"/>
          </w:tcPr>
          <w:p w:rsidR="00C275FA" w:rsidRDefault="00FB77E8">
            <w:pPr>
              <w:pStyle w:val="TableParagraph"/>
              <w:spacing w:line="193" w:lineRule="exact"/>
              <w:ind w:left="2640" w:right="25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Texcatla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</w:tr>
      <w:tr w:rsidR="00C275FA">
        <w:trPr>
          <w:trHeight w:val="741"/>
        </w:trPr>
        <w:tc>
          <w:tcPr>
            <w:tcW w:w="4640" w:type="dxa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275FA" w:rsidRDefault="00C275FA">
            <w:pPr>
              <w:pStyle w:val="TableParagraph"/>
              <w:rPr>
                <w:sz w:val="16"/>
              </w:rPr>
            </w:pPr>
          </w:p>
          <w:p w:rsidR="00C275FA" w:rsidRDefault="00C275FA">
            <w:pPr>
              <w:pStyle w:val="TableParagraph"/>
              <w:rPr>
                <w:sz w:val="16"/>
              </w:rPr>
            </w:pPr>
          </w:p>
          <w:p w:rsidR="00C275FA" w:rsidRDefault="00C275FA">
            <w:pPr>
              <w:pStyle w:val="TableParagraph"/>
              <w:spacing w:before="8"/>
              <w:rPr>
                <w:sz w:val="16"/>
              </w:rPr>
            </w:pPr>
          </w:p>
          <w:p w:rsidR="00C275FA" w:rsidRDefault="00FB77E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275FA">
        <w:trPr>
          <w:trHeight w:val="189"/>
        </w:trPr>
        <w:tc>
          <w:tcPr>
            <w:tcW w:w="4640" w:type="dxa"/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C275FA" w:rsidRDefault="00FB77E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275FA" w:rsidRDefault="00FB77E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HGOSFO071</w:t>
            </w:r>
          </w:p>
        </w:tc>
      </w:tr>
      <w:tr w:rsidR="00C275FA">
        <w:trPr>
          <w:trHeight w:val="369"/>
        </w:trPr>
        <w:tc>
          <w:tcPr>
            <w:tcW w:w="4640" w:type="dxa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275FA" w:rsidRDefault="00FB77E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275FA" w:rsidRDefault="00FB77E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130460062</w:t>
            </w:r>
          </w:p>
        </w:tc>
      </w:tr>
      <w:tr w:rsidR="00C275F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275FA" w:rsidRDefault="00FB77E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275FA" w:rsidRDefault="00FB77E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275FA" w:rsidRDefault="00FB77E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275F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275FA" w:rsidRDefault="00FB77E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275FA" w:rsidRDefault="00FB77E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275FA">
        <w:trPr>
          <w:trHeight w:val="185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16.8%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275FA">
        <w:trPr>
          <w:trHeight w:val="185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5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5"/>
        </w:trPr>
        <w:tc>
          <w:tcPr>
            <w:tcW w:w="4640" w:type="dxa"/>
            <w:shd w:val="clear" w:color="auto" w:fill="FFFF00"/>
          </w:tcPr>
          <w:p w:rsidR="00C275FA" w:rsidRDefault="00FB77E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275FA" w:rsidRDefault="00FB77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275FA" w:rsidRDefault="00FB77E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5"/>
        </w:trPr>
        <w:tc>
          <w:tcPr>
            <w:tcW w:w="4640" w:type="dxa"/>
            <w:shd w:val="clear" w:color="auto" w:fill="F9BE8F"/>
          </w:tcPr>
          <w:p w:rsidR="00C275FA" w:rsidRDefault="00FB77E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275FA" w:rsidRDefault="00FB77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275FA" w:rsidRDefault="00FB77E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75FA">
        <w:trPr>
          <w:trHeight w:val="184"/>
        </w:trPr>
        <w:tc>
          <w:tcPr>
            <w:tcW w:w="4640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275FA" w:rsidRDefault="00FB77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75FA">
        <w:trPr>
          <w:trHeight w:val="187"/>
        </w:trPr>
        <w:tc>
          <w:tcPr>
            <w:tcW w:w="4640" w:type="dxa"/>
            <w:shd w:val="clear" w:color="auto" w:fill="DCE6F0"/>
          </w:tcPr>
          <w:p w:rsidR="00C275FA" w:rsidRDefault="00FB77E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275FA" w:rsidRDefault="00FB77E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275FA" w:rsidRDefault="00FB77E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275FA">
        <w:trPr>
          <w:trHeight w:val="3141"/>
        </w:trPr>
        <w:tc>
          <w:tcPr>
            <w:tcW w:w="4640" w:type="dxa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</w:tc>
      </w:tr>
      <w:tr w:rsidR="00C275FA">
        <w:trPr>
          <w:trHeight w:val="185"/>
        </w:trPr>
        <w:tc>
          <w:tcPr>
            <w:tcW w:w="7544" w:type="dxa"/>
            <w:gridSpan w:val="3"/>
          </w:tcPr>
          <w:p w:rsidR="00C275FA" w:rsidRDefault="00FB77E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275FA">
        <w:trPr>
          <w:trHeight w:val="164"/>
        </w:trPr>
        <w:tc>
          <w:tcPr>
            <w:tcW w:w="4640" w:type="dxa"/>
          </w:tcPr>
          <w:p w:rsidR="00C275FA" w:rsidRDefault="00FB77E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275FA" w:rsidRDefault="00C275F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C275FA" w:rsidRDefault="00C275FA">
            <w:pPr>
              <w:pStyle w:val="TableParagraph"/>
              <w:rPr>
                <w:sz w:val="10"/>
              </w:rPr>
            </w:pPr>
          </w:p>
        </w:tc>
      </w:tr>
    </w:tbl>
    <w:p w:rsidR="00C275FA" w:rsidRDefault="00C275FA">
      <w:pPr>
        <w:rPr>
          <w:sz w:val="10"/>
        </w:rPr>
        <w:sectPr w:rsidR="00C275FA">
          <w:pgSz w:w="11910" w:h="16840"/>
          <w:pgMar w:top="1600" w:right="0" w:bottom="280" w:left="1680" w:header="720" w:footer="720" w:gutter="0"/>
          <w:cols w:space="720"/>
        </w:sectPr>
      </w:pPr>
    </w:p>
    <w:p w:rsidR="00C275FA" w:rsidRDefault="00FB77E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46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C275F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FB77E8">
            <w:pPr>
              <w:pStyle w:val="TableParagraph"/>
              <w:spacing w:line="193" w:lineRule="exact"/>
              <w:ind w:left="49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Texcatla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</w:tr>
      <w:tr w:rsidR="00C275FA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FB77E8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FB77E8">
            <w:pPr>
              <w:pStyle w:val="TableParagraph"/>
              <w:spacing w:before="40" w:line="153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HGOSFO071</w:t>
            </w:r>
          </w:p>
        </w:tc>
      </w:tr>
      <w:tr w:rsidR="00C275FA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C275F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FB77E8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275FA" w:rsidRDefault="00FB77E8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130460062</w:t>
            </w:r>
          </w:p>
        </w:tc>
      </w:tr>
      <w:tr w:rsidR="00C275F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75FA" w:rsidRDefault="00C275FA">
            <w:pPr>
              <w:pStyle w:val="TableParagraph"/>
              <w:spacing w:before="9"/>
              <w:rPr>
                <w:sz w:val="10"/>
              </w:rPr>
            </w:pPr>
          </w:p>
          <w:p w:rsidR="00C275FA" w:rsidRDefault="00FB77E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75FA" w:rsidRDefault="00C275FA">
            <w:pPr>
              <w:pStyle w:val="TableParagraph"/>
              <w:spacing w:before="9"/>
              <w:rPr>
                <w:sz w:val="10"/>
              </w:rPr>
            </w:pPr>
          </w:p>
          <w:p w:rsidR="00C275FA" w:rsidRDefault="00FB77E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75FA" w:rsidRDefault="00FB77E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75FA" w:rsidRDefault="00C275FA">
            <w:pPr>
              <w:pStyle w:val="TableParagraph"/>
              <w:spacing w:before="9"/>
              <w:rPr>
                <w:sz w:val="10"/>
              </w:rPr>
            </w:pPr>
          </w:p>
          <w:p w:rsidR="00C275FA" w:rsidRDefault="00FB77E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C275F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C275FA" w:rsidRDefault="00FB77E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C275FA" w:rsidRDefault="00FB77E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C275FA" w:rsidRDefault="00FB77E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C275FA" w:rsidRDefault="00FB77E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16.8%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11"/>
              <w:rPr>
                <w:sz w:val="20"/>
              </w:rPr>
            </w:pPr>
          </w:p>
          <w:p w:rsidR="00C275FA" w:rsidRDefault="00FB77E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C275F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275FA" w:rsidRDefault="00FB77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C275FA" w:rsidRDefault="00FB77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75FA" w:rsidRDefault="00FB77E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7"/>
              </w:rPr>
            </w:pPr>
          </w:p>
          <w:p w:rsidR="00C275FA" w:rsidRDefault="00FB77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275FA" w:rsidRDefault="00FB77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C275FA" w:rsidRDefault="00FB77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spacing w:before="10"/>
              <w:rPr>
                <w:sz w:val="17"/>
              </w:rPr>
            </w:pPr>
          </w:p>
          <w:p w:rsidR="00C275FA" w:rsidRDefault="00FB77E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92D050"/>
          </w:tcPr>
          <w:p w:rsidR="00C275FA" w:rsidRDefault="00FB77E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C275FA" w:rsidRDefault="00FB77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275FA" w:rsidRDefault="00C275FA">
            <w:pPr>
              <w:pStyle w:val="TableParagraph"/>
              <w:spacing w:before="10"/>
              <w:rPr>
                <w:sz w:val="17"/>
              </w:rPr>
            </w:pPr>
          </w:p>
          <w:p w:rsidR="00C275FA" w:rsidRDefault="00FB77E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C275FA" w:rsidRDefault="00FB77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C275FA" w:rsidRDefault="00FB77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C275FA" w:rsidRDefault="00FB77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11"/>
              <w:rPr>
                <w:sz w:val="20"/>
              </w:rPr>
            </w:pPr>
          </w:p>
          <w:p w:rsidR="00C275FA" w:rsidRDefault="00FB77E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82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275FA" w:rsidRDefault="00FB77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FB77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C275FA" w:rsidRDefault="00C275FA">
            <w:pPr>
              <w:pStyle w:val="TableParagraph"/>
              <w:rPr>
                <w:sz w:val="14"/>
              </w:rPr>
            </w:pPr>
          </w:p>
          <w:p w:rsidR="00C275FA" w:rsidRDefault="00C275FA">
            <w:pPr>
              <w:pStyle w:val="TableParagraph"/>
              <w:spacing w:before="2"/>
              <w:rPr>
                <w:sz w:val="11"/>
              </w:rPr>
            </w:pPr>
          </w:p>
          <w:p w:rsidR="00C275FA" w:rsidRDefault="00FB77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275FA" w:rsidRDefault="00FB77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C275FA" w:rsidRDefault="00FB77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275FA" w:rsidRDefault="00C275FA">
            <w:pPr>
              <w:rPr>
                <w:sz w:val="2"/>
                <w:szCs w:val="2"/>
              </w:rPr>
            </w:pPr>
          </w:p>
        </w:tc>
      </w:tr>
      <w:tr w:rsidR="00C275F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C275FA" w:rsidRDefault="00FB77E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C275FA" w:rsidRDefault="00C275FA">
      <w:pPr>
        <w:spacing w:line="107" w:lineRule="exact"/>
        <w:rPr>
          <w:sz w:val="11"/>
        </w:rPr>
        <w:sectPr w:rsidR="00C275FA">
          <w:pgSz w:w="11910" w:h="16840"/>
          <w:pgMar w:top="1600" w:right="0" w:bottom="280" w:left="1680" w:header="720" w:footer="720" w:gutter="0"/>
          <w:cols w:space="720"/>
        </w:sect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10"/>
        </w:rPr>
      </w:pPr>
    </w:p>
    <w:p w:rsidR="00C275FA" w:rsidRDefault="00C275FA">
      <w:pPr>
        <w:pStyle w:val="Textoindependiente"/>
        <w:spacing w:before="3"/>
        <w:rPr>
          <w:sz w:val="9"/>
        </w:rPr>
      </w:pPr>
    </w:p>
    <w:p w:rsidR="00C275FA" w:rsidRDefault="00FB77E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1980;width:4610;height:2804" coordorigin="3966,-1979" coordsize="4610,2804" o:spt="100" adj="0,,0" path="m5980,-99l8575,824,8178,51,5980,-99xm3966,-1979l5980,-99r892,-463l5980,-562r-716,-714l3966,-1979xm6277,-1160r-297,598l6872,-562r16,-8l6266,-570r11,-590xm7993,-1979l6266,-570r622,l7203,-733r790,-1246xe" fillcolor="#9bba58" stroked="f">
              <v:stroke joinstyle="round"/>
              <v:formulas/>
              <v:path arrowok="t" o:connecttype="segments"/>
            </v:shape>
            <v:shape id="_x0000_s1032" style="position:absolute;left:3966;top:-1980;width:4610;height:2804" coordorigin="3966,-1979" coordsize="4610,2804" path="m5980,-562r297,-598l6266,-570,7993,-1979,7203,-733,5980,-99,8178,51r397,773l5980,-99r93,682l5980,-99,3966,-1979r1298,703l5980,-56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0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C275FA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C275FA" w:rsidRDefault="00FB77E8">
                        <w:pPr>
                          <w:pStyle w:val="TableParagraph"/>
                          <w:spacing w:line="193" w:lineRule="exact"/>
                          <w:ind w:left="293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Texcatla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275FA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C275FA" w:rsidRDefault="00C275F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275FA" w:rsidRDefault="00C275F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spacing w:line="153" w:lineRule="exact"/>
                          <w:ind w:left="1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HGOSFO071</w:t>
                        </w:r>
                      </w:p>
                    </w:tc>
                  </w:tr>
                  <w:tr w:rsidR="00C275FA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C275FA" w:rsidRDefault="00FB77E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275FA" w:rsidRDefault="00C275F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C275FA" w:rsidRDefault="00C275F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C275FA" w:rsidRDefault="00C275F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C275FA" w:rsidRDefault="00FB77E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C275FA" w:rsidRDefault="00FB77E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275FA" w:rsidRDefault="00FB77E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130460062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C275FA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75FA" w:rsidRDefault="00C275F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C275FA" w:rsidRDefault="00FB77E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275FA" w:rsidRDefault="00C275F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275FA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C275FA" w:rsidRDefault="00FB77E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275FA" w:rsidRDefault="00C275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C275FA">
      <w:pPr>
        <w:pStyle w:val="Textoindependiente"/>
        <w:rPr>
          <w:sz w:val="20"/>
        </w:rPr>
      </w:pPr>
    </w:p>
    <w:p w:rsidR="00C275FA" w:rsidRDefault="00FB77E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C275F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275FA"/>
    <w:rsid w:val="00C275FA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0B8E7E8"/>
  <w15:docId w15:val="{16A3CCF4-90DB-472D-9EE3-1502B53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2019-05-29T15:23:00Z</dcterms:created>
  <dcterms:modified xsi:type="dcterms:W3CDTF">2019-05-29T22:05:00Z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